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Qu’est-ce que tu mets aujourd’hui?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израза који се односе на одећу и боје.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 и именује речи и изразе који се односе на одећу и боје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замоли једног или два ученика да изађу из учионице. Уколико у учионици постоји место скривено од погледа осталих ученика, могу и ту стану и мало сачекају. Наставник замоли остале ученике да наведу шта су од одеће и у којој боји имали на себи ученици који су изашли. Наставник одобрава све одговоре, понавља их више пута, посебно наглашавајући боје, нпр.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un pantalon rouge ou un pantalon vert ou un pantalon noir…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уводи ученике, сви заједно потврђују шта од одеће имају на себи и ко је био најближи опису.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замоли ученике да отворе уџбенике на стр.39 и погледају вежбу С. На слици је Родолф који меша боје. Ученици слушају аудио запис ЦД 2/19 и погађају које се боје добијају када се помешају две различите.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Jeu de loto,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стр.39 у уџбенику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покрију папирићима четири сличице, наставник изговара називе одеће, ученици покривају преосталим папирићима(8).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цртају одевни предмет по избору у више примерака и боје различитим бојама.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LibreOffice/5.3.2.2$Windows_x86 LibreOffice_project/6cd4f1ef626f15116896b1d8e1398b56da0d0ee1</Application>
  <Pages>2</Pages>
  <Words>305</Words>
  <Characters>1657</Characters>
  <CharactersWithSpaces>1937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2020-08-29T12:49:52Z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